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6F37" w14:textId="77777777" w:rsidR="00F34C4C" w:rsidRDefault="007C26BB">
      <w:pPr>
        <w:pStyle w:val="Standard"/>
        <w:widowControl w:val="0"/>
        <w:jc w:val="center"/>
      </w:pPr>
      <w:bookmarkStart w:id="0" w:name="_Hlk206660596"/>
      <w:bookmarkStart w:id="1" w:name="_Toc206657514"/>
      <w:bookmarkStart w:id="2" w:name="_Toc206660422"/>
      <w:bookmarkStart w:id="3" w:name="_Toc206660539"/>
      <w:bookmarkStart w:id="4" w:name="Bookmark"/>
      <w:bookmarkStart w:id="5" w:name="_Hlk176250290"/>
      <w:bookmarkStart w:id="6" w:name="_Hlk182911197"/>
      <w:bookmarkEnd w:id="0"/>
      <w:r>
        <w:rPr>
          <w:noProof/>
        </w:rPr>
        <w:drawing>
          <wp:inline distT="0" distB="0" distL="0" distR="0" wp14:anchorId="58581331" wp14:editId="45E527C6">
            <wp:extent cx="1036801" cy="1257482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1" cy="125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14:paraId="32D24548" w14:textId="77777777" w:rsidR="00F34C4C" w:rsidRDefault="00F34C4C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47B8ACC1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12C83A8A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7A6C1E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41928647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D36214B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10A80960" w14:textId="77777777" w:rsidR="00F34C4C" w:rsidRDefault="00F34C4C">
      <w:pPr>
        <w:pStyle w:val="Standard"/>
        <w:widowControl w:val="0"/>
        <w:rPr>
          <w:rFonts w:ascii="Times New Roman" w:hAnsi="Times New Roman" w:cs="Times New Roman"/>
          <w:b/>
          <w:bCs/>
        </w:rPr>
      </w:pPr>
    </w:p>
    <w:p w14:paraId="197C5429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</w:rPr>
        <w:t xml:space="preserve">ALLEGATO B – </w:t>
      </w:r>
      <w:r>
        <w:rPr>
          <w:rFonts w:ascii="Times New Roman" w:hAnsi="Times New Roman" w:cs="Times New Roman"/>
          <w:b/>
          <w:bCs/>
          <w:i/>
        </w:rPr>
        <w:t>OFFERTA ECONOMICA</w:t>
      </w:r>
    </w:p>
    <w:bookmarkEnd w:id="4"/>
    <w:p w14:paraId="51B569C8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  <w:color w:val="FF0000"/>
        </w:rPr>
        <w:t>(compilare le sole parti di interesse)</w:t>
      </w:r>
    </w:p>
    <w:p w14:paraId="37A80309" w14:textId="5E9CECE6" w:rsidR="00F34C4C" w:rsidRDefault="007C26B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OGGETTO: </w:t>
      </w:r>
      <w:r w:rsidR="007C6519" w:rsidRPr="007C651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PROCEDURA APERTA RELATIVA ALL'APPALTO DEL SERVIZIO DI TRASPORTO SCOLASTICO E DI ASSISTENZA ALUNNI SUGLI SCUOLABUS PER LA DURATA DI 3 ANNI.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CIG: </w:t>
      </w:r>
      <w:r w:rsidR="00280225" w:rsidRPr="002802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B82FB65D10</w:t>
      </w:r>
    </w:p>
    <w:p w14:paraId="438940E4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p w14:paraId="038B55C1" w14:textId="77777777" w:rsidR="00F34C4C" w:rsidRDefault="007C26BB">
      <w:pPr>
        <w:pStyle w:val="Standard"/>
        <w:jc w:val="both"/>
      </w:pPr>
      <w:r>
        <w:rPr>
          <w:rFonts w:ascii="Times New Roman" w:hAnsi="Times New Roman" w:cs="Times New Roman"/>
        </w:rPr>
        <w:t xml:space="preserve">Il/La sottoscritto/a </w:t>
      </w:r>
      <w:r>
        <w:rPr>
          <w:rStyle w:val="Rimandonotaapidipagina"/>
        </w:rPr>
        <w:footnoteReference w:id="1"/>
      </w:r>
    </w:p>
    <w:p w14:paraId="1365884F" w14:textId="77777777" w:rsidR="00F34C4C" w:rsidRDefault="007C26BB">
      <w:pPr>
        <w:pStyle w:val="Standard"/>
        <w:jc w:val="both"/>
      </w:pPr>
      <w:r>
        <w:t>nato a</w:t>
      </w:r>
    </w:p>
    <w:p w14:paraId="392B0535" w14:textId="77777777" w:rsidR="00F34C4C" w:rsidRDefault="007C26BB">
      <w:pPr>
        <w:pStyle w:val="Standard"/>
        <w:jc w:val="both"/>
      </w:pPr>
      <w:r>
        <w:t>il</w:t>
      </w:r>
    </w:p>
    <w:p w14:paraId="4273992C" w14:textId="77777777" w:rsidR="00F34C4C" w:rsidRDefault="007C26BB">
      <w:pPr>
        <w:pStyle w:val="Standard"/>
        <w:jc w:val="both"/>
      </w:pPr>
      <w:r>
        <w:t>Residente in:</w:t>
      </w:r>
    </w:p>
    <w:p w14:paraId="67C7FB6F" w14:textId="77777777" w:rsidR="00F34C4C" w:rsidRDefault="007C26BB">
      <w:pPr>
        <w:pStyle w:val="Standard"/>
        <w:jc w:val="both"/>
      </w:pPr>
      <w:r>
        <w:t>Comune</w:t>
      </w:r>
    </w:p>
    <w:p w14:paraId="7E05B1FA" w14:textId="77777777" w:rsidR="00F34C4C" w:rsidRDefault="007C26BB">
      <w:pPr>
        <w:pStyle w:val="Standard"/>
        <w:jc w:val="both"/>
      </w:pPr>
      <w:r>
        <w:t>Codice Fiscale</w:t>
      </w:r>
    </w:p>
    <w:p w14:paraId="3B89D029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nella sua qualifica di:</w:t>
      </w:r>
    </w:p>
    <w:p w14:paraId="310396FA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Legale Rappresentante</w:t>
      </w:r>
    </w:p>
    <w:p w14:paraId="71C3C5BD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Institore</w:t>
      </w:r>
    </w:p>
    <w:p w14:paraId="7E85EA74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disgiunta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72805BA6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congiunta della ditta che rappresenta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4148E4B8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Partecipante alla presente gara in qualità di:</w:t>
      </w:r>
    </w:p>
    <w:p w14:paraId="247B3299" w14:textId="77777777" w:rsidR="00F34C4C" w:rsidRDefault="007C26BB">
      <w:pPr>
        <w:pStyle w:val="Paragrafoelenco"/>
        <w:numPr>
          <w:ilvl w:val="0"/>
          <w:numId w:val="22"/>
        </w:numPr>
        <w:ind w:left="284" w:hanging="23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operatore singolo</w:t>
      </w:r>
    </w:p>
    <w:p w14:paraId="2550E390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raggruppamento temporaneo </w:t>
      </w:r>
      <w:r>
        <w:rPr>
          <w:rFonts w:ascii="Times New Roman" w:hAnsi="Times New Roman" w:cs="Times New Roman"/>
          <w:i/>
        </w:rPr>
        <w:t>(indicare se costituito o costituendo)</w:t>
      </w:r>
      <w:r>
        <w:rPr>
          <w:rFonts w:ascii="Times New Roman" w:hAnsi="Times New Roman" w:cs="Times New Roman"/>
        </w:rPr>
        <w:t xml:space="preserve"> formato da: …………………… (indicare i ruoli ricoperti) ………………………….</w:t>
      </w:r>
    </w:p>
    <w:p w14:paraId="2B36C5D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stabile</w:t>
      </w:r>
    </w:p>
    <w:p w14:paraId="6F5050E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società cooperative</w:t>
      </w:r>
    </w:p>
    <w:p w14:paraId="773C5D32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imprese artigiane</w:t>
      </w:r>
    </w:p>
    <w:p w14:paraId="61D038AE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Consorzio ordinario </w:t>
      </w:r>
      <w:r>
        <w:rPr>
          <w:rFonts w:ascii="Times New Roman" w:hAnsi="Times New Roman" w:cs="Times New Roman"/>
          <w:i/>
        </w:rPr>
        <w:t>(indicare se costituito o costituendo)</w:t>
      </w:r>
    </w:p>
    <w:p w14:paraId="0C1B4C3F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dotata di organo comune</w:t>
      </w:r>
    </w:p>
    <w:p w14:paraId="0E48C8FC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sprovvista di organo comune o con organo comune privo di rappresentanza</w:t>
      </w:r>
    </w:p>
    <w:p w14:paraId="19531296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GEIE</w:t>
      </w:r>
    </w:p>
    <w:p w14:paraId="22FCD052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</w:pPr>
      <w:r>
        <w:rPr>
          <w:rFonts w:ascii="Times New Roman" w:hAnsi="Times New Roman" w:cs="Times New Roman"/>
        </w:rPr>
        <w:t>altro (</w:t>
      </w:r>
      <w:r>
        <w:rPr>
          <w:rFonts w:ascii="Times New Roman" w:hAnsi="Times New Roman" w:cs="Times New Roman"/>
          <w:i/>
        </w:rPr>
        <w:t>indicare altre, eventuali forme di partecipazione previste dalla normativa speciale di settore)</w:t>
      </w:r>
    </w:p>
    <w:p w14:paraId="57D0ACBC" w14:textId="3903C08B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</w:t>
      </w:r>
      <w:r w:rsidR="007A193D">
        <w:rPr>
          <w:rFonts w:ascii="Times New Roman" w:hAnsi="Times New Roman" w:cs="Times New Roman"/>
        </w:rPr>
        <w:t xml:space="preserve"> </w:t>
      </w:r>
      <w:r w:rsidR="007A193D" w:rsidRPr="00DA6DD6">
        <w:t>________________________</w:t>
      </w:r>
    </w:p>
    <w:p w14:paraId="2A634896" w14:textId="77777777" w:rsidR="007A193D" w:rsidRPr="00DA6DD6" w:rsidRDefault="007A193D" w:rsidP="007A193D">
      <w:pPr>
        <w:pStyle w:val="a"/>
        <w:spacing w:line="360" w:lineRule="auto"/>
        <w:ind w:left="142" w:right="17" w:firstLine="425"/>
        <w:jc w:val="both"/>
      </w:pPr>
      <w:r>
        <w:t>A</w:t>
      </w:r>
      <w:r w:rsidRPr="00DA6DD6">
        <w:t>ll’uopo, CONSAPEVOLE,</w:t>
      </w:r>
      <w:r w:rsidRPr="00DA6DD6">
        <w:rPr>
          <w:i/>
        </w:rPr>
        <w:t xml:space="preserve"> ai sensi degli articoli 46 e 47 del DPR 28 dicembre 2000 n.445, </w:t>
      </w:r>
      <w:r w:rsidRPr="00DA6DD6">
        <w:t xml:space="preserve">delle sanzioni penali previste dall'articolo 76 del medesimo DPR 445/2000, per le ipotesi di falsità in atti e dichiarazioni mendaci ivi indicate, nonché della decadenza di cui all’art. 75, assumendosene la piena responsabilità, </w:t>
      </w:r>
    </w:p>
    <w:p w14:paraId="3DE47F07" w14:textId="77777777" w:rsidR="007A193D" w:rsidRPr="00DA6DD6" w:rsidRDefault="007A193D" w:rsidP="007A193D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bookmarkStart w:id="7" w:name="_Hlk102722791"/>
      <w:r w:rsidRPr="00DA6DD6">
        <w:rPr>
          <w:rFonts w:ascii="Times New Roman" w:hAnsi="Times New Roman"/>
          <w:b/>
          <w:sz w:val="22"/>
          <w:szCs w:val="22"/>
        </w:rPr>
        <w:t xml:space="preserve">OFFRE </w:t>
      </w:r>
    </w:p>
    <w:bookmarkEnd w:id="7"/>
    <w:p w14:paraId="01EA15E6" w14:textId="270B3B3F" w:rsidR="007A193D" w:rsidRPr="00DA6DD6" w:rsidRDefault="007A193D" w:rsidP="007A193D">
      <w:pPr>
        <w:widowControl/>
        <w:spacing w:line="360" w:lineRule="auto"/>
        <w:ind w:right="17"/>
        <w:jc w:val="both"/>
      </w:pPr>
      <w:r w:rsidRPr="00DA6DD6">
        <w:t>per l’esecuzione delle prestazioni oggetto del presente appalto il ribasso unico percentuale ___________%, (in lettere ________________________virgola____________________) considerato al netto degli oneri per l’attuazione dei piani di sicurezza e dei costi della manodopera sul prezzo posto a base d’asta</w:t>
      </w:r>
      <w:r w:rsidR="005754B4">
        <w:t xml:space="preserve"> pari a € 92.600,60;</w:t>
      </w:r>
    </w:p>
    <w:p w14:paraId="0C56D0AE" w14:textId="77777777" w:rsidR="007A193D" w:rsidRPr="00DA6DD6" w:rsidRDefault="007A193D" w:rsidP="007A193D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r w:rsidRPr="00DA6DD6">
        <w:rPr>
          <w:rFonts w:ascii="Times New Roman" w:hAnsi="Times New Roman"/>
          <w:b/>
          <w:sz w:val="22"/>
          <w:szCs w:val="22"/>
        </w:rPr>
        <w:t>DICHIARA</w:t>
      </w:r>
    </w:p>
    <w:p w14:paraId="7990588F" w14:textId="77777777" w:rsidR="007A193D" w:rsidRPr="00DA6DD6" w:rsidRDefault="007A193D" w:rsidP="007A193D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di confermare il contenuto remunerativo ed ampiamente satisfattivo del valore totale dell’importo contemplato dall’appalto, in ragione sia della peculiarità sia della specificità delle prestazioni di servizio;</w:t>
      </w:r>
    </w:p>
    <w:p w14:paraId="3DCB00C3" w14:textId="77777777" w:rsidR="007A193D" w:rsidRPr="00DA6DD6" w:rsidRDefault="007A193D" w:rsidP="007A193D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di impegnarsi a mantenere la validità dell’offerta per un periodo minimo di 180 giorni dalla data di apertura dei plichi contenenti le offerte, ai sensi del D. Lgs. n. 36/2023;</w:t>
      </w:r>
    </w:p>
    <w:p w14:paraId="2FE91D18" w14:textId="77777777" w:rsidR="007A193D" w:rsidRPr="00DA6DD6" w:rsidRDefault="007A193D" w:rsidP="007A193D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remunerativa l’offerta economica presentata giacché per la sua formulazione ha preso atto e tenuto conto:</w:t>
      </w:r>
    </w:p>
    <w:p w14:paraId="1D0DFCE9" w14:textId="77777777" w:rsidR="007A193D" w:rsidRPr="00DA6DD6" w:rsidRDefault="007A193D" w:rsidP="007A19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t>a) delle condizioni contrattuali, di norme e prescrizioni dei contratti collettivi, delle leggi e dei regolamenti sulla tutela, protezione, assicurazione, assistenza e sicurezza fisica dei lavoratori comunque presenti nel luogo dove devono essere svolti i servizi e degli oneri compresi quelli eventuali relativi in materia di sicurezza, di assicurazione, di condizioni di lavoro e di previdenza e assistenza, in vigore nel luogo dove devono essere svolti i servizi;</w:t>
      </w:r>
    </w:p>
    <w:p w14:paraId="3CAC2C4B" w14:textId="77777777" w:rsidR="007A193D" w:rsidRPr="00DA6DD6" w:rsidRDefault="007A193D" w:rsidP="007A19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lastRenderedPageBreak/>
        <w:t>b) di tutte le circostanze generali, particolari e locali, nessuna esclusa ed eccettuata, che possono avere influito o influire sia sulla prestazione dei servizi, sia sulla determinazione della propria offerta;</w:t>
      </w:r>
    </w:p>
    <w:p w14:paraId="342C152F" w14:textId="77777777" w:rsidR="007A193D" w:rsidRPr="00DA6DD6" w:rsidRDefault="007A193D" w:rsidP="007A19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t>c) di aver preso conoscenza del territorio, delle condizioni di viabilità e di averle tenete in considerazione nella formulazione della propria offerta.</w:t>
      </w:r>
    </w:p>
    <w:p w14:paraId="1A35810C" w14:textId="77777777" w:rsidR="007A193D" w:rsidRPr="00DA6DD6" w:rsidRDefault="007A193D" w:rsidP="007A193D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 xml:space="preserve">in conformità all’art. 108, comma 9, del d. lgs. n. 36/2023, che la </w:t>
      </w:r>
      <w:r w:rsidRPr="00DA6DD6">
        <w:rPr>
          <w:b/>
          <w:bCs/>
        </w:rPr>
        <w:t>stima dei costi aziendali</w:t>
      </w:r>
      <w:r w:rsidRPr="00DA6DD6">
        <w:t xml:space="preserve"> relativi alla salute ed alla sicurezza sui luoghi di lavoro afferenti i rischi propri dell’attività svolta dall’impresa appaltatrice inclusi nel prezzo offerto ammontano ad € __________</w:t>
      </w:r>
      <w:proofErr w:type="gramStart"/>
      <w:r w:rsidRPr="00DA6DD6">
        <w:t>_(</w:t>
      </w:r>
      <w:proofErr w:type="gramEnd"/>
      <w:r w:rsidRPr="00DA6DD6">
        <w:t xml:space="preserve">in cifre) ____________(in lettere _____________________________________); </w:t>
      </w:r>
    </w:p>
    <w:p w14:paraId="11A45C17" w14:textId="77777777" w:rsidR="007A193D" w:rsidRPr="00DA6DD6" w:rsidRDefault="007A193D" w:rsidP="007A193D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  <w:rPr>
          <w:i/>
          <w:u w:val="single"/>
        </w:rPr>
      </w:pPr>
      <w:r w:rsidRPr="00DA6DD6">
        <w:t xml:space="preserve">che la </w:t>
      </w:r>
      <w:r w:rsidRPr="00DA6DD6">
        <w:rPr>
          <w:b/>
          <w:bCs/>
        </w:rPr>
        <w:t>stima dei costi della manodopera</w:t>
      </w:r>
      <w:r w:rsidRPr="00DA6DD6">
        <w:t xml:space="preserve"> relativa alle attività oggetto dell’appalto, non soggetto a ribasso ai sensi dell’art. 41, comma 14, del Codice, ammonta ad € </w:t>
      </w:r>
      <w:proofErr w:type="gramStart"/>
      <w:r w:rsidRPr="00DA6DD6">
        <w:t>( in</w:t>
      </w:r>
      <w:proofErr w:type="gramEnd"/>
      <w:r w:rsidRPr="00DA6DD6">
        <w:t xml:space="preserve"> cifre ) _________________ ( in lettere </w:t>
      </w:r>
      <w:bookmarkStart w:id="8" w:name="_Hlk493495135"/>
      <w:r w:rsidRPr="00DA6DD6">
        <w:t>_____________________________________ )</w:t>
      </w:r>
      <w:bookmarkEnd w:id="8"/>
      <w:r w:rsidRPr="00DA6DD6">
        <w:t xml:space="preserve"> afferente al CCNL__________________;</w:t>
      </w:r>
    </w:p>
    <w:p w14:paraId="696D90B5" w14:textId="77777777" w:rsidR="007A193D" w:rsidRPr="00DA6DD6" w:rsidRDefault="007A193D" w:rsidP="007A193D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r w:rsidRPr="00DA6DD6">
        <w:rPr>
          <w:rFonts w:ascii="Times New Roman" w:hAnsi="Times New Roman"/>
          <w:b/>
          <w:sz w:val="22"/>
          <w:szCs w:val="22"/>
        </w:rPr>
        <w:t>ALLEGA</w:t>
      </w:r>
    </w:p>
    <w:p w14:paraId="2B554BFE" w14:textId="77777777" w:rsidR="007A193D" w:rsidRPr="00DA6DD6" w:rsidRDefault="007A193D" w:rsidP="007A193D">
      <w:pPr>
        <w:spacing w:line="360" w:lineRule="auto"/>
        <w:ind w:left="142" w:right="17" w:firstLine="425"/>
        <w:jc w:val="both"/>
      </w:pPr>
      <w:r w:rsidRPr="00DA6DD6">
        <w:t>Tenuto conto di quanto previsto dal Bando tipo n. 1/2023 approvato dal Consiglio dell’Autorità con delibera n. 309 del 27 giugno 2023 al fine, al fine di accelerare i tempi dell’affidamento</w:t>
      </w:r>
    </w:p>
    <w:p w14:paraId="025119C2" w14:textId="77777777" w:rsidR="007A193D" w:rsidRPr="00DA6DD6" w:rsidRDefault="007A193D" w:rsidP="007A193D">
      <w:pPr>
        <w:widowControl/>
        <w:numPr>
          <w:ilvl w:val="1"/>
          <w:numId w:val="24"/>
        </w:numPr>
        <w:autoSpaceDN/>
        <w:spacing w:line="360" w:lineRule="auto"/>
        <w:ind w:left="142" w:right="17" w:firstLine="425"/>
        <w:jc w:val="both"/>
        <w:textAlignment w:val="auto"/>
      </w:pPr>
      <w:r w:rsidRPr="00DA6DD6">
        <w:t>nel caso in cui applichi un CCNL differente da quello indicato nell’esecuzione delle prestazioni oggetto del contratto, apposita dichiarazione di equivalenza delle tutele e apposita documentazione a supporto ai sensi dell’art. 11, del codice;</w:t>
      </w:r>
    </w:p>
    <w:p w14:paraId="02287210" w14:textId="77777777" w:rsidR="007A193D" w:rsidRPr="00DA6DD6" w:rsidRDefault="007A193D" w:rsidP="007A193D">
      <w:pPr>
        <w:pStyle w:val="a"/>
        <w:spacing w:before="1" w:line="360" w:lineRule="auto"/>
        <w:ind w:left="142" w:right="17" w:firstLine="425"/>
      </w:pPr>
    </w:p>
    <w:p w14:paraId="64AC8EAD" w14:textId="77777777" w:rsidR="007A193D" w:rsidRPr="00DA6DD6" w:rsidRDefault="007A193D" w:rsidP="007A193D">
      <w:pPr>
        <w:pStyle w:val="a"/>
        <w:spacing w:line="360" w:lineRule="auto"/>
        <w:ind w:left="142" w:right="17" w:firstLine="425"/>
      </w:pPr>
    </w:p>
    <w:p w14:paraId="3B8BB111" w14:textId="77777777" w:rsidR="007A193D" w:rsidRDefault="007A193D" w:rsidP="007A193D">
      <w:pPr>
        <w:pStyle w:val="a"/>
        <w:spacing w:line="360" w:lineRule="auto"/>
        <w:ind w:left="142" w:right="17" w:firstLine="425"/>
        <w:rPr>
          <w:spacing w:val="-4"/>
        </w:rPr>
      </w:pPr>
      <w:r w:rsidRPr="00DA6DD6">
        <w:t>data</w:t>
      </w:r>
      <w:r w:rsidRPr="00DA6DD6">
        <w:rPr>
          <w:spacing w:val="-4"/>
        </w:rPr>
        <w:t xml:space="preserve"> _______________                                           </w:t>
      </w:r>
    </w:p>
    <w:p w14:paraId="284A2777" w14:textId="77777777" w:rsidR="007A193D" w:rsidRDefault="007A193D" w:rsidP="007A193D">
      <w:pPr>
        <w:pStyle w:val="a"/>
        <w:spacing w:line="360" w:lineRule="auto"/>
        <w:ind w:left="142" w:right="17" w:firstLine="425"/>
      </w:pPr>
    </w:p>
    <w:p w14:paraId="7B8F0917" w14:textId="77777777" w:rsidR="007A193D" w:rsidRDefault="007A193D" w:rsidP="007A193D">
      <w:pPr>
        <w:pStyle w:val="a"/>
        <w:spacing w:line="360" w:lineRule="auto"/>
        <w:ind w:left="142" w:right="17" w:firstLine="425"/>
      </w:pPr>
    </w:p>
    <w:p w14:paraId="4AEA6BE6" w14:textId="27735139" w:rsidR="007A193D" w:rsidRPr="00DA6DD6" w:rsidRDefault="007A193D" w:rsidP="007A193D">
      <w:pPr>
        <w:pStyle w:val="a"/>
        <w:spacing w:line="360" w:lineRule="auto"/>
        <w:ind w:left="2974" w:right="17" w:firstLine="566"/>
      </w:pPr>
      <w:proofErr w:type="gramStart"/>
      <w:r w:rsidRPr="00DA6DD6">
        <w:t>firma</w:t>
      </w:r>
      <w:r w:rsidRPr="00DA6DD6">
        <w:rPr>
          <w:spacing w:val="-1"/>
        </w:rPr>
        <w:t xml:space="preserve"> </w:t>
      </w:r>
      <w:r w:rsidRPr="00DA6DD6">
        <w:rPr>
          <w:spacing w:val="-4"/>
        </w:rPr>
        <w:t xml:space="preserve"> _</w:t>
      </w:r>
      <w:proofErr w:type="gramEnd"/>
      <w:r w:rsidRPr="00DA6DD6">
        <w:rPr>
          <w:spacing w:val="-4"/>
        </w:rPr>
        <w:t>______________________________________</w:t>
      </w:r>
    </w:p>
    <w:p w14:paraId="78F35726" w14:textId="77777777" w:rsidR="007A193D" w:rsidRDefault="007A193D">
      <w:pPr>
        <w:pStyle w:val="Standard"/>
        <w:jc w:val="both"/>
        <w:rPr>
          <w:rFonts w:ascii="Times New Roman" w:hAnsi="Times New Roman" w:cs="Times New Roman"/>
        </w:rPr>
      </w:pPr>
    </w:p>
    <w:p w14:paraId="0E0B6E2C" w14:textId="77777777" w:rsidR="00F34C4C" w:rsidRDefault="00F34C4C">
      <w:pPr>
        <w:pStyle w:val="Standard"/>
        <w:rPr>
          <w:rFonts w:ascii="Times New Roman" w:hAnsi="Times New Roman" w:cs="Times New Roman"/>
        </w:rPr>
      </w:pPr>
    </w:p>
    <w:bookmarkEnd w:id="5"/>
    <w:bookmarkEnd w:id="6"/>
    <w:p w14:paraId="678E4774" w14:textId="77777777" w:rsidR="00F34C4C" w:rsidRDefault="00F34C4C">
      <w:pPr>
        <w:pStyle w:val="Standard"/>
        <w:jc w:val="both"/>
      </w:pPr>
    </w:p>
    <w:sectPr w:rsidR="00F34C4C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2B40" w14:textId="77777777" w:rsidR="000A32E7" w:rsidRDefault="000A32E7">
      <w:r>
        <w:separator/>
      </w:r>
    </w:p>
  </w:endnote>
  <w:endnote w:type="continuationSeparator" w:id="0">
    <w:p w14:paraId="7723AC87" w14:textId="77777777" w:rsidR="000A32E7" w:rsidRDefault="000A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-Antiqua, Bold">
    <w:altName w:val="Calibri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1ED2" w14:textId="77777777" w:rsidR="000A32E7" w:rsidRDefault="000A32E7">
      <w:r>
        <w:rPr>
          <w:color w:val="000000"/>
        </w:rPr>
        <w:separator/>
      </w:r>
    </w:p>
  </w:footnote>
  <w:footnote w:type="continuationSeparator" w:id="0">
    <w:p w14:paraId="53368BD4" w14:textId="77777777" w:rsidR="000A32E7" w:rsidRDefault="000A32E7">
      <w:r>
        <w:continuationSeparator/>
      </w:r>
    </w:p>
  </w:footnote>
  <w:footnote w:id="1">
    <w:p w14:paraId="3B6650B3" w14:textId="77777777" w:rsidR="00F34C4C" w:rsidRDefault="007C26BB">
      <w:pPr>
        <w:pStyle w:val="Standard"/>
      </w:pPr>
      <w:r>
        <w:rPr>
          <w:rStyle w:val="Rimandonotaapidipagina"/>
        </w:rPr>
        <w:footnoteRef/>
      </w:r>
      <w:r>
        <w:rPr>
          <w:b/>
          <w:bCs/>
          <w:sz w:val="16"/>
          <w:szCs w:val="16"/>
          <w:u w:val="single"/>
        </w:rPr>
        <w:t>Le dichiarazioni devono essere rese dal titolare /rappresentante legale/institore</w:t>
      </w:r>
    </w:p>
    <w:p w14:paraId="5F32A5DD" w14:textId="77777777" w:rsidR="00F34C4C" w:rsidRDefault="007C26BB">
      <w:pPr>
        <w:pStyle w:val="Testonotaapidipagina"/>
      </w:pPr>
      <w:r>
        <w:rPr>
          <w:sz w:val="16"/>
          <w:szCs w:val="16"/>
        </w:rPr>
        <w:t xml:space="preserve">• </w:t>
      </w:r>
      <w:r>
        <w:rPr>
          <w:b/>
          <w:bCs/>
          <w:sz w:val="16"/>
          <w:szCs w:val="16"/>
        </w:rPr>
        <w:t>dell'Operatore singolo,</w:t>
      </w:r>
    </w:p>
    <w:p w14:paraId="3511EA06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di cui all’articolo 65, comma 2, lettere b) e c) del Codice.</w:t>
      </w:r>
    </w:p>
    <w:p w14:paraId="0B4BC0C0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stabili di cui all’articolo 65, comma 2, lett. d) del Codice,</w:t>
      </w:r>
    </w:p>
    <w:p w14:paraId="742E2DAF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della Mandataria /Capofila nel caso di RTI o Consorzi Ordinari costituiti</w:t>
      </w:r>
    </w:p>
    <w:p w14:paraId="2A9B8BA9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raggruppate in un RTI nel caso di RTI ancora da costituire</w:t>
      </w:r>
    </w:p>
    <w:p w14:paraId="2C499A41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consorziate che partecipano alla gara nel caso di un Consorzio Ordinario ancora da costituire</w:t>
      </w:r>
    </w:p>
    <w:p w14:paraId="1EAF6A82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dell’impresa retista che riveste la funzione di organo comune nel caso di rete dotata di organo comune con potere di rappresentanza e con/senza soggettività giuridica;</w:t>
      </w:r>
    </w:p>
    <w:p w14:paraId="4A95CE39" w14:textId="77777777" w:rsidR="00F34C4C" w:rsidRDefault="007C26BB">
      <w:pPr>
        <w:pStyle w:val="Testonotaapidipagina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mandataria.</w:t>
      </w:r>
    </w:p>
    <w:p w14:paraId="7015481B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38C"/>
    <w:multiLevelType w:val="multilevel"/>
    <w:tmpl w:val="BF68A64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A410554"/>
    <w:multiLevelType w:val="multilevel"/>
    <w:tmpl w:val="0CBCEC64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FC2649"/>
    <w:multiLevelType w:val="multilevel"/>
    <w:tmpl w:val="F3F21008"/>
    <w:styleLink w:val="WWNum16"/>
    <w:lvl w:ilvl="0"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0E819CA"/>
    <w:multiLevelType w:val="multilevel"/>
    <w:tmpl w:val="29EE146C"/>
    <w:styleLink w:val="WWNum19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 w15:restartNumberingAfterBreak="0">
    <w:nsid w:val="21766219"/>
    <w:multiLevelType w:val="multilevel"/>
    <w:tmpl w:val="3DE030A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8C70FE0"/>
    <w:multiLevelType w:val="multilevel"/>
    <w:tmpl w:val="842C02C6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3F6B44"/>
    <w:multiLevelType w:val="multilevel"/>
    <w:tmpl w:val="9CFACA0A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8369C2"/>
    <w:multiLevelType w:val="multilevel"/>
    <w:tmpl w:val="0ACEFE32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B6746"/>
    <w:multiLevelType w:val="multilevel"/>
    <w:tmpl w:val="4F68D090"/>
    <w:styleLink w:val="WWNum4"/>
    <w:lvl w:ilvl="0">
      <w:numFmt w:val="bullet"/>
      <w:lvlText w:val=""/>
      <w:lvlJc w:val="left"/>
      <w:pPr>
        <w:ind w:left="40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 w:cs="Wingdings"/>
      </w:rPr>
    </w:lvl>
  </w:abstractNum>
  <w:abstractNum w:abstractNumId="9" w15:restartNumberingAfterBreak="0">
    <w:nsid w:val="45E366A5"/>
    <w:multiLevelType w:val="multilevel"/>
    <w:tmpl w:val="3A367CF4"/>
    <w:styleLink w:val="WWNum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0796D3A"/>
    <w:multiLevelType w:val="multilevel"/>
    <w:tmpl w:val="21201D56"/>
    <w:styleLink w:val="WWNum12"/>
    <w:lvl w:ilvl="0">
      <w:numFmt w:val="bullet"/>
      <w:lvlText w:val=""/>
      <w:lvlJc w:val="left"/>
      <w:pPr>
        <w:ind w:left="934" w:hanging="709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ascii="Times New Roman" w:eastAsia="Garamond" w:hAnsi="Times New Roman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1" w15:restartNumberingAfterBreak="0">
    <w:nsid w:val="5A08354F"/>
    <w:multiLevelType w:val="multilevel"/>
    <w:tmpl w:val="935A6B4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5D7A49E5"/>
    <w:multiLevelType w:val="multilevel"/>
    <w:tmpl w:val="58A2924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1C92A84"/>
    <w:multiLevelType w:val="multilevel"/>
    <w:tmpl w:val="8F261A22"/>
    <w:styleLink w:val="WWNum5"/>
    <w:lvl w:ilvl="0">
      <w:numFmt w:val="bullet"/>
      <w:lvlText w:val="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48E54FB"/>
    <w:multiLevelType w:val="multilevel"/>
    <w:tmpl w:val="C3F0819A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15" w15:restartNumberingAfterBreak="0">
    <w:nsid w:val="6BC953D7"/>
    <w:multiLevelType w:val="multilevel"/>
    <w:tmpl w:val="56C4273A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EE05628"/>
    <w:multiLevelType w:val="multilevel"/>
    <w:tmpl w:val="ECC277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6FA842DF"/>
    <w:multiLevelType w:val="multilevel"/>
    <w:tmpl w:val="6E5EAD40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72EC101B"/>
    <w:multiLevelType w:val="hybridMultilevel"/>
    <w:tmpl w:val="F54AB9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362A8"/>
    <w:multiLevelType w:val="hybridMultilevel"/>
    <w:tmpl w:val="676C02F6"/>
    <w:lvl w:ilvl="0" w:tplc="CAD60CF2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/>
        <w:bCs/>
      </w:rPr>
    </w:lvl>
    <w:lvl w:ilvl="1" w:tplc="CAD60CF2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  <w:bCs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4D7FB0"/>
    <w:multiLevelType w:val="multilevel"/>
    <w:tmpl w:val="92A2B602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21" w15:restartNumberingAfterBreak="0">
    <w:nsid w:val="7D737876"/>
    <w:multiLevelType w:val="multilevel"/>
    <w:tmpl w:val="5844A554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F175AA0"/>
    <w:multiLevelType w:val="multilevel"/>
    <w:tmpl w:val="EB6887E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11"/>
  </w:num>
  <w:num w:numId="5">
    <w:abstractNumId w:val="8"/>
  </w:num>
  <w:num w:numId="6">
    <w:abstractNumId w:val="13"/>
  </w:num>
  <w:num w:numId="7">
    <w:abstractNumId w:val="16"/>
  </w:num>
  <w:num w:numId="8">
    <w:abstractNumId w:val="4"/>
  </w:num>
  <w:num w:numId="9">
    <w:abstractNumId w:val="20"/>
  </w:num>
  <w:num w:numId="10">
    <w:abstractNumId w:val="17"/>
  </w:num>
  <w:num w:numId="11">
    <w:abstractNumId w:val="1"/>
  </w:num>
  <w:num w:numId="12">
    <w:abstractNumId w:val="6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"/>
  </w:num>
  <w:num w:numId="21">
    <w:abstractNumId w:val="12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4C"/>
    <w:rsid w:val="000A32E7"/>
    <w:rsid w:val="00255A17"/>
    <w:rsid w:val="00280225"/>
    <w:rsid w:val="004F43F3"/>
    <w:rsid w:val="005754B4"/>
    <w:rsid w:val="007A193D"/>
    <w:rsid w:val="007C26BB"/>
    <w:rsid w:val="007C6519"/>
    <w:rsid w:val="00EA71A4"/>
    <w:rsid w:val="00F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4FB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  <w:suppressAutoHyphens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">
    <w:name w:val="Outline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paragraph" w:customStyle="1" w:styleId="a">
    <w:basedOn w:val="Normale"/>
    <w:next w:val="Corpotesto"/>
    <w:uiPriority w:val="1"/>
    <w:qFormat/>
    <w:rsid w:val="007A193D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essunaspaziaturaCarattere">
    <w:name w:val="Nessuna spaziatura Carattere"/>
    <w:link w:val="Nessunaspaziatura"/>
    <w:uiPriority w:val="1"/>
    <w:locked/>
    <w:rsid w:val="007A193D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7A193D"/>
    <w:pPr>
      <w:widowControl/>
      <w:autoSpaceDN/>
      <w:textAlignment w:val="auto"/>
    </w:pPr>
    <w:rPr>
      <w:sz w:val="24"/>
      <w:szCs w:val="24"/>
    </w:rPr>
  </w:style>
  <w:style w:type="paragraph" w:customStyle="1" w:styleId="Corpodeltesto21">
    <w:name w:val="Corpo del testo 21"/>
    <w:basedOn w:val="Normale"/>
    <w:rsid w:val="007A193D"/>
    <w:pPr>
      <w:widowControl/>
      <w:suppressAutoHyphens w:val="0"/>
      <w:autoSpaceDN/>
      <w:spacing w:line="360" w:lineRule="auto"/>
      <w:ind w:left="425"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19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8</cp:revision>
  <dcterms:created xsi:type="dcterms:W3CDTF">2025-08-21T07:57:00Z</dcterms:created>
  <dcterms:modified xsi:type="dcterms:W3CDTF">2025-09-10T07:51:00Z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